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23431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234252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84.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right"/>
        <w:rPr>
          <w:rFonts w:ascii="Marianne" w:hAnsi="Marianne" w:cs="Arial"/>
          <w:b/>
          <w:b/>
          <w:sz w:val="28"/>
          <w:szCs w:val="26"/>
        </w:rPr>
      </w:pPr>
      <w:r>
        <w:rPr>
          <w:rFonts w:cs="Arial" w:ascii="Marianne" w:hAnsi="Marianne"/>
          <w:b/>
          <w:sz w:val="28"/>
          <w:szCs w:val="26"/>
        </w:rPr>
      </w:r>
    </w:p>
    <w:p>
      <w:pPr>
        <w:pStyle w:val="Normal"/>
        <w:pBdr>
          <w:top w:val="single" w:sz="4" w:space="1" w:color="000000"/>
          <w:left w:val="single" w:sz="4" w:space="4" w:color="000000"/>
          <w:bottom w:val="single" w:sz="4" w:space="1" w:color="000000"/>
          <w:right w:val="single" w:sz="4" w:space="4" w:color="000000"/>
        </w:pBdr>
        <w:spacing w:lineRule="auto" w:line="276" w:before="0" w:after="200"/>
        <w:ind w:left="4309" w:hanging="0"/>
        <w:jc w:val="right"/>
        <w:rPr>
          <w:rFonts w:ascii="Marianne" w:hAnsi="Marianne" w:cs="Arial"/>
          <w:b/>
          <w:b/>
          <w:sz w:val="28"/>
          <w:szCs w:val="26"/>
        </w:rPr>
      </w:pPr>
      <w:r>
        <w:rPr>
          <w:rFonts w:cs="Arial" w:ascii="Marianne" w:hAnsi="Marianne"/>
          <w:b/>
          <w:sz w:val="28"/>
          <w:szCs w:val="26"/>
        </w:rPr>
        <w:t>Communes de moins de 1 000 habitants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color w:val="auto"/>
                <w:sz w:val="26"/>
                <w:szCs w:val="26"/>
              </w:rPr>
            </w:pPr>
            <w:r>
              <w:rPr>
                <w:rFonts w:cs="Arial" w:ascii="Marianne" w:hAnsi="Marianne"/>
                <w:b/>
                <w:bCs/>
                <w:color w:val="auto" w:themeColor="background1"/>
                <w:sz w:val="26"/>
                <w:szCs w:val="26"/>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76" w:before="0" w:after="200"/>
              <w:jc w:val="center"/>
              <w:rPr>
                <w:rFonts w:ascii="Marianne" w:hAnsi="Marianne" w:cs="Arial"/>
                <w:b/>
                <w:b/>
                <w:bCs/>
                <w:color w:val="auto"/>
                <w:sz w:val="26"/>
                <w:szCs w:val="26"/>
              </w:rPr>
            </w:pPr>
            <w:r>
              <w:rPr>
                <w:rFonts w:cs="Arial" w:ascii="Marianne" w:hAnsi="Marianne"/>
                <w:b/>
                <w:bCs/>
                <w:color w:val="auto"/>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délégués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ou représentés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 xml:space="preserve">Absents non représentés :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Normal"/>
        <w:tabs>
          <w:tab w:val="clear" w:pos="708"/>
          <w:tab w:val="left" w:pos="7088" w:leader="dot"/>
          <w:tab w:val="left" w:pos="9781" w:leader="dot"/>
          <w:tab w:val="left" w:pos="15309" w:leader="dot"/>
        </w:tabs>
        <w:spacing w:lineRule="auto" w:line="360"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ou représentés)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clear" w:pos="708"/>
          <w:tab w:val="left" w:pos="7088" w:leader="dot"/>
          <w:tab w:val="left" w:pos="9781" w:leader="dot"/>
          <w:tab w:val="left" w:pos="15309" w:leader="dot"/>
        </w:tabs>
        <w:spacing w:lineRule="auto" w:line="360" w:before="120" w:after="120"/>
        <w:jc w:val="both"/>
        <w:rPr>
          <w:rFonts w:ascii="Marianne" w:hAnsi="Marianne"/>
          <w:spacing w:val="10"/>
          <w:sz w:val="22"/>
          <w:szCs w:val="24"/>
        </w:rPr>
      </w:pPr>
      <w:r>
        <w:rPr>
          <w:rFonts w:ascii="Marianne" w:hAnsi="Marianne"/>
          <w:spacing w:val="10"/>
          <w:sz w:val="22"/>
          <w:szCs w:val="24"/>
        </w:rPr>
        <w:t xml:space="preserve">          </w:t>
      </w:r>
      <w:r>
        <w:rPr>
          <w:rFonts w:ascii="Marianne" w:hAnsi="Marianne"/>
          <w:spacing w:val="10"/>
          <w:sz w:val="22"/>
          <w:szCs w:val="24"/>
        </w:rPr>
        <w:t>Étaient présents à cette seconde réunion les conseillers municipaux suivants) </w:t>
      </w:r>
      <w:r>
        <w:rPr>
          <w:rStyle w:val="Ancredenotedebasdepage"/>
          <w:rFonts w:ascii="Marianne" w:hAnsi="Marianne"/>
          <w:spacing w:val="10"/>
          <w:sz w:val="22"/>
          <w:szCs w:val="24"/>
        </w:rPr>
        <w:footnoteReference w:id="4"/>
      </w:r>
      <w:r>
        <w:rPr>
          <w:rFonts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rPr>
      </w:pPr>
      <w:r>
        <w:rPr>
          <w:rFonts w:cs="Arial" w:ascii="Marianne" w:hAnsi="Marianne"/>
          <w:spacing w:val="10"/>
          <w:sz w:val="22"/>
          <w:szCs w:val="24"/>
        </w:rPr>
        <w:t xml:space="preserve">      </w:t>
      </w:r>
    </w:p>
    <w:p>
      <w:pPr>
        <w:pStyle w:val="Normal"/>
        <w:tabs>
          <w:tab w:val="clear" w:pos="708"/>
          <w:tab w:val="left" w:pos="10490" w:leader="dot"/>
        </w:tabs>
        <w:spacing w:lineRule="auto" w:line="480" w:before="120" w:after="12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ascii="Marianne" w:hAnsi="Marianne"/>
          <w:spacing w:val="10"/>
          <w:sz w:val="22"/>
          <w:u w:val="single"/>
        </w:rPr>
        <w:footnoteReference w:id="5"/>
      </w:r>
      <w:r>
        <w:rPr>
          <w:rFonts w:ascii="Marianne" w:hAnsi="Marianne"/>
          <w:spacing w:val="10"/>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Normal"/>
        <w:spacing w:lineRule="auto" w:line="276" w:before="0" w:after="20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12"/>
          <w:szCs w:val="26"/>
        </w:rPr>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22"/>
          <w:szCs w:val="26"/>
        </w:rPr>
        <w:tab/>
        <w:t xml:space="preserve">Le maire (ou son remplaçant) a procédé à l’appel nominal des membres du conseil, a dénombré ………… conseillers présents ou représentés et rappelé que le conseil municipal délibère valablement sans condition de quorum conformément à l’article 10 de la loi n° 2020-290 du 23 mars 2020 modifiée.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7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7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Il a rappelé qu’en application des articles L. 288 et R. 133 du code électoral, les délégués et leurs suppléants sont élus séparément, sans débat, au scrutin secret majoritaire à deux tours</w:t>
      </w:r>
      <w:r>
        <w:rPr>
          <w:rFonts w:ascii="Marianne" w:hAnsi="Marianne"/>
          <w:spacing w:val="10"/>
          <w:sz w:val="22"/>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Dans l’un et l’autre cas, en cas d’égalité de suffrages, le plus âgé des candidats est déclaré élu.</w:t>
      </w:r>
    </w:p>
    <w:p>
      <w:pPr>
        <w:pStyle w:val="Normal"/>
        <w:spacing w:lineRule="auto" w:line="276" w:before="120" w:after="120"/>
        <w:jc w:val="both"/>
        <w:rPr>
          <w:rFonts w:ascii="Marianne" w:hAnsi="Marianne"/>
          <w:spacing w:val="10"/>
          <w:sz w:val="22"/>
          <w:szCs w:val="22"/>
        </w:rPr>
      </w:pPr>
      <w:r>
        <w:rPr>
          <w:rFonts w:ascii="Marianne" w:hAnsi="Marianne"/>
          <w:spacing w:val="10"/>
          <w:sz w:val="22"/>
        </w:rPr>
        <w:tab/>
      </w:r>
      <w:r>
        <w:rPr>
          <w:rFonts w:ascii="Marianne" w:hAnsi="Marianne"/>
          <w:spacing w:val="10"/>
          <w:sz w:val="22"/>
          <w:szCs w:val="22"/>
        </w:rPr>
        <w:t>Le maire (ou son remplaçant) a rappelé que les membres du conseil municipal</w:t>
      </w:r>
      <w:r>
        <w:rPr>
          <w:sz w:val="22"/>
          <w:szCs w:val="22"/>
        </w:rPr>
        <w:t xml:space="preserve"> </w:t>
      </w:r>
      <w:r>
        <w:rPr>
          <w:rFonts w:ascii="Marianne" w:hAnsi="Marianne"/>
          <w:spacing w:val="10"/>
          <w:sz w:val="22"/>
          <w:szCs w:val="22"/>
        </w:rPr>
        <w:t>qui n'ont pas la nationalité française ne peuvent ni être élus membres du collège électoral sénatorial, ni participer à l'élection des délégués et des suppléants (art. L.O. 286-1 du code électoral).</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w:t>
      </w:r>
      <w:r>
        <w:rPr>
          <w:rFonts w:ascii="Marianne" w:hAnsi="Marianne"/>
          <w:spacing w:val="10"/>
          <w:szCs w:val="26"/>
        </w:rPr>
        <w:t xml:space="preserve">L. 282, </w:t>
      </w:r>
      <w:r>
        <w:rPr>
          <w:rFonts w:ascii="Marianne" w:hAnsi="Marianne"/>
          <w:spacing w:val="10"/>
          <w:sz w:val="22"/>
        </w:rPr>
        <w:t>L. 287 et, L. 445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numPr>
          <w:ilvl w:val="0"/>
          <w:numId w:val="0"/>
        </w:numPr>
        <w:spacing w:before="120" w:after="120"/>
        <w:ind w:firstLine="708"/>
        <w:contextualSpacing/>
        <w:jc w:val="both"/>
        <w:outlineLvl w:val="0"/>
        <w:rPr>
          <w:rFonts w:ascii="Marianne" w:hAnsi="Marianne"/>
          <w:spacing w:val="10"/>
          <w:sz w:val="22"/>
        </w:rPr>
      </w:pPr>
      <w:r>
        <w:rPr>
          <w:rFonts w:ascii="Marianne" w:hAnsi="Marianne"/>
          <w:spacing w:val="10"/>
          <w:sz w:val="22"/>
        </w:rPr>
        <w:t>Le maire (ou son remplaçant) a rappelé que les délégués et suppléants sont élus parmi les membres du conseil municipal</w:t>
      </w:r>
      <w:r>
        <w:rPr>
          <w:rFonts w:ascii="Marianne" w:hAnsi="Marianne"/>
          <w:spacing w:val="10"/>
          <w:sz w:val="22"/>
          <w:szCs w:val="22"/>
        </w:rPr>
        <w:t xml:space="preserve"> de nationalité française</w:t>
      </w:r>
      <w:r>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 de nationalité française (L. 286).</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indiqué que conformément à l’article L. 284 du code électoral, le cas échéant, l’article L. 290-1 ou L. 290-2, le conseil municipal devait élire</w:t>
      </w:r>
      <w:r>
        <w:rPr>
          <w:rFonts w:cs="Courier New" w:ascii="Courier New" w:hAnsi="Courier New"/>
          <w:spacing w:val="10"/>
          <w:sz w:val="22"/>
        </w:rPr>
        <w:t> </w:t>
      </w:r>
      <w:r>
        <w:rPr>
          <w:rFonts w:ascii="Marianne" w:hAnsi="Marianne"/>
          <w:spacing w:val="10"/>
          <w:sz w:val="22"/>
        </w:rPr>
        <w:t>: ………. délégué(s) et ……… suppléants.</w:t>
      </w:r>
    </w:p>
    <w:p>
      <w:pPr>
        <w:pStyle w:val="Normal"/>
        <w:spacing w:lineRule="auto" w:line="276" w:before="120" w:after="120"/>
        <w:jc w:val="both"/>
        <w:rPr>
          <w:rFonts w:ascii="Marianne" w:hAnsi="Marianne"/>
          <w:spacing w:val="10"/>
          <w:sz w:val="22"/>
        </w:rPr>
      </w:pPr>
      <w:r>
        <w:rPr>
          <w:rFonts w:ascii="Marianne" w:hAnsi="Marianne"/>
          <w:spacing w:val="10"/>
          <w:sz w:val="22"/>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de chaque tour de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spacing w:val="10"/>
          <w:sz w:val="22"/>
          <w:szCs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Pr/>
        <w:t xml:space="preserve"> </w:t>
      </w:r>
      <w:r>
        <w:rPr>
          <w:rFonts w:ascii="Marianne" w:hAnsi="Marianne"/>
          <w:sz w:val="22"/>
          <w:szCs w:val="22"/>
        </w:rPr>
        <w:t>(art. L. 66 du code électoral)</w:t>
      </w:r>
      <w:r>
        <w:rPr>
          <w:rFonts w:ascii="Marianne" w:hAnsi="Marianne"/>
          <w:spacing w:val="10"/>
          <w:sz w:val="22"/>
          <w:szCs w:val="22"/>
        </w:rPr>
        <w: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Lorsque tous les mandats n’ont pas été attribués au premier tour de scrutin, il a été procédé à un second tour de scrutin.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Après l’élection des délégués, il a été procédé à l’élection des suppléants dans les mêmes conditions.</w:t>
      </w:r>
    </w:p>
    <w:p>
      <w:pPr>
        <w:pStyle w:val="ListParagraph"/>
        <w:numPr>
          <w:ilvl w:val="0"/>
          <w:numId w:val="1"/>
        </w:numPr>
        <w:spacing w:lineRule="auto" w:line="360" w:before="120" w:after="120"/>
        <w:ind w:left="567" w:right="284"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du premier tour de scrutin de l’élection des délégués</w:t>
      </w:r>
    </w:p>
    <w:tbl>
      <w:tblPr>
        <w:tblStyle w:val="Grilledutableau"/>
        <w:tblW w:w="9599" w:type="dxa"/>
        <w:jc w:val="left"/>
        <w:tblInd w:w="363"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b/>
                <w:b/>
                <w:spacing w:val="10"/>
                <w:sz w:val="28"/>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color w:val="000000"/>
                <w:sz w:val="22"/>
                <w:szCs w:val="22"/>
              </w:rPr>
              <w:footnoteReference w:id="6"/>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clear" w:pos="708"/>
          <w:tab w:val="left" w:pos="9639" w:leader="dot"/>
          <w:tab w:val="left" w:pos="15168" w:leader="dot"/>
        </w:tabs>
        <w:spacing w:lineRule="auto" w:line="276" w:before="120" w:after="120"/>
        <w:ind w:right="284" w:hanging="0"/>
        <w:jc w:val="both"/>
        <w:rPr>
          <w:rFonts w:ascii="Marianne" w:hAnsi="Marianne"/>
          <w:spacing w:val="10"/>
          <w:sz w:val="22"/>
        </w:rPr>
      </w:pPr>
      <w:r>
        <w:rPr>
          <w:rFonts w:ascii="Marianne" w:hAnsi="Marianne"/>
          <w:spacing w:val="10"/>
          <w:sz w:val="22"/>
        </w:rPr>
      </w:r>
      <w:r>
        <w:br w:type="page"/>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1894" w:hRule="atLeast"/>
        </w:trPr>
        <w:tc>
          <w:tcPr>
            <w:tcW w:w="6453" w:type="dxa"/>
            <w:tcBorders/>
            <w:shd w:fill="auto" w:val="clear"/>
          </w:tcPr>
          <w:p>
            <w:pPr>
              <w:pStyle w:val="Titre3"/>
              <w:pageBreakBefore/>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 xml:space="preserve">décroissant </w:t>
            </w:r>
            <w:r>
              <w:rPr>
                <w:rFonts w:cs="Arial" w:ascii="Marianne" w:hAnsi="Marianne"/>
                <w:szCs w:val="24"/>
              </w:rPr>
              <w:t>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960" w:leader="none"/>
                <w:tab w:val="left" w:pos="1029" w:leader="none"/>
              </w:tabs>
              <w:spacing w:lineRule="auto" w:line="240" w:before="0" w:after="0"/>
              <w:rPr>
                <w:rFonts w:ascii="Marianne" w:hAnsi="Marianne"/>
                <w:sz w:val="24"/>
                <w:szCs w:val="24"/>
              </w:rPr>
            </w:pPr>
            <w:r>
              <w:rPr>
                <w:rFonts w:ascii="Marianne" w:hAnsi="Marianne"/>
                <w:sz w:val="24"/>
                <w:szCs w:val="24"/>
              </w:rPr>
              <w:tab/>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spacing w:val="10"/>
          <w:sz w:val="22"/>
          <w:szCs w:val="26"/>
        </w:rPr>
      </w:pPr>
      <w:r>
        <w:rPr>
          <w:rFonts w:ascii="Marianne" w:hAnsi="Marianne"/>
          <w:b/>
          <w:spacing w:val="10"/>
          <w:sz w:val="26"/>
          <w:szCs w:val="26"/>
          <w:u w:val="single"/>
        </w:rPr>
        <w:t>Résultats du second tour de scrutin de l’élection des délégués</w:t>
      </w:r>
      <w:r>
        <w:rPr>
          <w:rStyle w:val="Ancredenotedebasdepage"/>
          <w:rFonts w:ascii="Marianne" w:hAnsi="Marianne"/>
          <w:spacing w:val="10"/>
          <w:sz w:val="22"/>
          <w:szCs w:val="26"/>
        </w:rPr>
        <w:footnoteReference w:id="7"/>
      </w:r>
    </w:p>
    <w:tbl>
      <w:tblPr>
        <w:tblStyle w:val="Grilledutableau"/>
        <w:tblW w:w="9962" w:type="dxa"/>
        <w:jc w:val="center"/>
        <w:tblInd w:w="0" w:type="dxa"/>
        <w:tblCellMar>
          <w:top w:w="0" w:type="dxa"/>
          <w:left w:w="108" w:type="dxa"/>
          <w:bottom w:w="0" w:type="dxa"/>
          <w:right w:w="108" w:type="dxa"/>
        </w:tblCellMar>
        <w:tblLook w:val="04a0"/>
      </w:tblPr>
      <w:tblGrid>
        <w:gridCol w:w="4982"/>
        <w:gridCol w:w="4979"/>
      </w:tblGrid>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340" w:hRule="atLeast"/>
        </w:trPr>
        <w:tc>
          <w:tcPr>
            <w:tcW w:w="6453" w:type="dxa"/>
            <w:tcBorders/>
            <w:shd w:fill="auto" w:val="clear"/>
            <w:vAlign w:val="cente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1029" w:leader="none"/>
              </w:tabs>
              <w:spacing w:lineRule="auto" w:line="240" w:before="0" w:after="0"/>
              <w:rPr>
                <w:rFonts w:ascii="Marianne" w:hAnsi="Marianne"/>
                <w:sz w:val="24"/>
                <w:szCs w:val="24"/>
              </w:rPr>
            </w:pPr>
            <w:r>
              <w:rPr>
                <w:rFonts w:ascii="Marianne" w:hAnsi="Marianne"/>
                <w:sz w:val="24"/>
                <w:szCs w:val="24"/>
              </w:rPr>
              <w:tab/>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Proclamation de l’élection des délégués</w:t>
      </w:r>
      <w:r>
        <w:rPr>
          <w:rStyle w:val="Ancredenotedebasdepage"/>
          <w:rFonts w:cs="Arial" w:ascii="Marianne" w:hAnsi="Marianne"/>
          <w:sz w:val="26"/>
          <w:szCs w:val="26"/>
          <w:u w:val="single"/>
          <w:vertAlign w:val="superscript"/>
        </w:rPr>
        <w:footnoteReference w:id="8"/>
      </w:r>
    </w:p>
    <w:p>
      <w:pPr>
        <w:pStyle w:val="Normal"/>
        <w:numPr>
          <w:ilvl w:val="0"/>
          <w:numId w:val="0"/>
        </w:numPr>
        <w:spacing w:lineRule="auto" w:line="360" w:before="120" w:after="120"/>
        <w:jc w:val="both"/>
        <w:outlineLvl w:val="0"/>
        <w:rPr>
          <w:rFonts w:ascii="Marianne" w:hAnsi="Marianne" w:cs="Arial"/>
          <w:b/>
          <w:b/>
          <w:spacing w:val="10"/>
          <w:sz w:val="26"/>
          <w:szCs w:val="26"/>
          <w:u w:val="single"/>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t xml:space="preserve">Etc. </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spacing w:before="120" w:after="120"/>
        <w:ind w:firstLine="708"/>
        <w:jc w:val="both"/>
        <w:rPr>
          <w:rFonts w:ascii="Marianne" w:hAnsi="Marianne" w:cs="Arial"/>
          <w:spacing w:val="10"/>
          <w:sz w:val="22"/>
        </w:rPr>
      </w:pPr>
      <w:r>
        <w:rPr>
          <w:rFonts w:cs="Arial" w:ascii="Marianne" w:hAnsi="Marianne"/>
          <w:spacing w:val="10"/>
          <w:sz w:val="22"/>
        </w:rPr>
        <w:t>Le maire (ou son remplaçant) a rappelé que les délégués présents ne peuvent plus refuser d’exercer leurs fonctions après l’ouverture du scrutin pour la désignation des suppléants.</w:t>
      </w:r>
    </w:p>
    <w:p>
      <w:pPr>
        <w:pStyle w:val="ListParagraph"/>
        <w:numPr>
          <w:ilvl w:val="1"/>
          <w:numId w:val="6"/>
        </w:numPr>
        <w:spacing w:lineRule="auto" w:line="360" w:before="120" w:after="12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Refus des délégués</w:t>
      </w:r>
      <w:r>
        <w:rPr>
          <w:rStyle w:val="Ancredenotedebasdepage"/>
          <w:rFonts w:ascii="Marianne" w:hAnsi="Marianne"/>
          <w:b/>
          <w:spacing w:val="10"/>
          <w:sz w:val="26"/>
          <w:szCs w:val="26"/>
          <w:u w:val="single"/>
        </w:rPr>
        <w:footnoteReference w:id="9"/>
      </w:r>
    </w:p>
    <w:p>
      <w:pPr>
        <w:pStyle w:val="Normal"/>
        <w:spacing w:before="120" w:after="120"/>
        <w:jc w:val="both"/>
        <w:rPr>
          <w:rFonts w:ascii="Marianne" w:hAnsi="Marianne"/>
          <w:spacing w:val="10"/>
          <w:sz w:val="22"/>
        </w:rPr>
      </w:pPr>
      <w:r>
        <w:rPr>
          <w:rFonts w:ascii="Marianne" w:hAnsi="Marianne"/>
          <w:spacing w:val="10"/>
          <w:sz w:val="22"/>
        </w:rPr>
        <w:tab/>
        <w:t>Le maire (ou son remplaçant) a constaté le refus de ……………………………… délégués après la proclamation de leur élection. 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suppléants</w:t>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Résultats du premier tour de scrutin de l’élection des suppléants</w:t>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10"/>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1834" w:hRule="atLeast"/>
        </w:trPr>
        <w:tc>
          <w:tcPr>
            <w:tcW w:w="6453" w:type="dxa"/>
            <w:tcBorders/>
            <w:shd w:fill="auto" w:val="clear"/>
            <w:vAlign w:val="cente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1029" w:leader="none"/>
              </w:tabs>
              <w:spacing w:lineRule="auto" w:line="240" w:before="0" w:after="0"/>
              <w:rPr>
                <w:rFonts w:ascii="Marianne" w:hAnsi="Marianne"/>
                <w:sz w:val="24"/>
                <w:szCs w:val="24"/>
              </w:rPr>
            </w:pPr>
            <w:r>
              <w:rPr>
                <w:rFonts w:ascii="Marianne" w:hAnsi="Marianne"/>
                <w:sz w:val="24"/>
                <w:szCs w:val="24"/>
              </w:rPr>
              <w:tab/>
            </w:r>
            <w:bookmarkStart w:id="0" w:name="_GoBack"/>
            <w:bookmarkEnd w:id="0"/>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Résultats du second tour de scrutin de l’élection des suppléants</w:t>
      </w:r>
      <w:r>
        <w:rPr>
          <w:rStyle w:val="Ancredenotedebasdepage"/>
          <w:rFonts w:cs="Arial" w:ascii="Marianne" w:hAnsi="Marianne"/>
          <w:spacing w:val="10"/>
          <w:sz w:val="22"/>
          <w:szCs w:val="26"/>
        </w:rPr>
        <w:footnoteReference w:id="11"/>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340" w:hRule="atLeast"/>
        </w:trPr>
        <w:tc>
          <w:tcPr>
            <w:tcW w:w="6453" w:type="dxa"/>
            <w:tcBorders/>
            <w:shd w:fill="auto" w:val="clear"/>
            <w:vAlign w:val="cente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1029" w:leader="none"/>
              </w:tabs>
              <w:spacing w:lineRule="auto" w:line="240" w:before="0" w:after="0"/>
              <w:rPr>
                <w:rFonts w:ascii="Marianne" w:hAnsi="Marianne"/>
                <w:sz w:val="24"/>
                <w:szCs w:val="24"/>
              </w:rPr>
            </w:pPr>
            <w:r>
              <w:rPr>
                <w:rFonts w:ascii="Marianne" w:hAnsi="Marianne"/>
                <w:sz w:val="24"/>
                <w:szCs w:val="24"/>
              </w:rPr>
              <w:tab/>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Proclamation de l’élection des suppléants</w:t>
      </w:r>
    </w:p>
    <w:p>
      <w:pPr>
        <w:pStyle w:val="Normal"/>
        <w:spacing w:before="120" w:after="120"/>
        <w:jc w:val="both"/>
        <w:rPr>
          <w:rFonts w:ascii="Marianne" w:hAnsi="Marianne"/>
          <w:spacing w:val="10"/>
          <w:sz w:val="22"/>
        </w:rPr>
      </w:pPr>
      <w:r>
        <w:rPr>
          <w:rFonts w:ascii="Marianne" w:hAnsi="Marianne"/>
          <w:spacing w:val="10"/>
          <w:sz w:val="22"/>
        </w:rPr>
        <w:tab/>
        <w:t xml:space="preserve">En application de l’article L. 288 du code électoral, l’ordre des suppléants a été déterminé successivement par </w:t>
      </w:r>
      <w:r>
        <w:rPr>
          <w:rFonts w:ascii="Marianne" w:hAnsi="Marianne"/>
          <w:b/>
          <w:spacing w:val="10"/>
          <w:sz w:val="22"/>
        </w:rPr>
        <w:t>l’ancienneté de l’élection</w:t>
      </w:r>
      <w:r>
        <w:rPr>
          <w:rFonts w:ascii="Marianne" w:hAnsi="Marianne"/>
          <w:spacing w:val="10"/>
          <w:sz w:val="22"/>
        </w:rPr>
        <w:t xml:space="preserve"> (élection au premier ou au second tour) puis, entre les suppléants élus à l’issue d’un même tour de scrutin, par le </w:t>
      </w:r>
      <w:r>
        <w:rPr>
          <w:rFonts w:ascii="Marianne" w:hAnsi="Marianne"/>
          <w:b/>
          <w:spacing w:val="10"/>
          <w:sz w:val="22"/>
        </w:rPr>
        <w:t>nombre de suffrages obtenus</w:t>
      </w:r>
      <w:r>
        <w:rPr>
          <w:rFonts w:ascii="Marianne" w:hAnsi="Marianne"/>
          <w:spacing w:val="10"/>
          <w:sz w:val="22"/>
        </w:rPr>
        <w:t xml:space="preserve"> puis, en cas d’égalité de suffrages, par </w:t>
      </w:r>
      <w:r>
        <w:rPr>
          <w:rFonts w:ascii="Marianne" w:hAnsi="Marianne"/>
          <w:b/>
          <w:spacing w:val="10"/>
          <w:sz w:val="22"/>
        </w:rPr>
        <w:t>l’âge des candidats</w:t>
      </w:r>
      <w:r>
        <w:rPr>
          <w:rFonts w:ascii="Marianne" w:hAnsi="Marianne"/>
          <w:spacing w:val="10"/>
          <w:sz w:val="22"/>
        </w:rPr>
        <w:t>, le plus âgé étant élu</w:t>
      </w:r>
      <w:r>
        <w:rPr>
          <w:rStyle w:val="Ancredenotedebasdepage"/>
          <w:rFonts w:ascii="Marianne" w:hAnsi="Marianne"/>
          <w:sz w:val="22"/>
          <w:vertAlign w:val="superscript"/>
        </w:rPr>
        <w:footnoteReference w:id="12"/>
      </w:r>
      <w:r>
        <w:rPr>
          <w:rFonts w:ascii="Marianne" w:hAnsi="Marianne"/>
          <w:spacing w:val="10"/>
          <w:sz w:val="22"/>
        </w:rPr>
        <w: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Refus des suppléants</w:t>
      </w:r>
      <w:r>
        <w:rPr>
          <w:rStyle w:val="Ancredenotedebasdepage"/>
          <w:rFonts w:cs="Arial" w:ascii="Marianne" w:hAnsi="Marianne"/>
          <w:spacing w:val="10"/>
          <w:sz w:val="22"/>
          <w:szCs w:val="26"/>
        </w:rPr>
        <w:footnoteReference w:id="13"/>
      </w:r>
    </w:p>
    <w:p>
      <w:pPr>
        <w:pStyle w:val="Normal"/>
        <w:spacing w:before="120" w:after="120"/>
        <w:ind w:right="284" w:hanging="0"/>
        <w:jc w:val="both"/>
        <w:rPr>
          <w:rFonts w:ascii="Marianne" w:hAnsi="Marianne"/>
          <w:spacing w:val="10"/>
          <w:sz w:val="22"/>
        </w:rPr>
      </w:pPr>
      <w:r>
        <w:rPr>
          <w:rFonts w:ascii="Marianne" w:hAnsi="Marianne"/>
          <w:spacing w:val="10"/>
          <w:sz w:val="22"/>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360" w:right="284"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spacing w:val="10"/>
          <w:sz w:val="22"/>
          <w:szCs w:val="26"/>
        </w:rPr>
        <w:footnoteReference w:id="14"/>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ListParagraph"/>
        <w:numPr>
          <w:ilvl w:val="0"/>
          <w:numId w:val="7"/>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Le présent procès-verbal, dressé et clos le XX  juillet 2020 à …………………….... heures et ……………………….. minutes, en triple exemplaire</w:t>
      </w:r>
      <w:r>
        <w:rPr>
          <w:rStyle w:val="Ancredenotedebasdepage"/>
          <w:rFonts w:cs="Arial" w:ascii="Marianne" w:hAnsi="Marianne"/>
          <w:spacing w:val="10"/>
          <w:sz w:val="22"/>
          <w:szCs w:val="26"/>
        </w:rPr>
        <w:footnoteReference w:id="15"/>
      </w:r>
      <w:r>
        <w:rPr>
          <w:rFonts w:cs="Arial" w:ascii="Marianne" w:hAnsi="Marianne"/>
          <w:spacing w:val="10"/>
          <w:sz w:val="22"/>
          <w:szCs w:val="26"/>
        </w:rPr>
        <w:t xml:space="preserve">, a été, après lecture, signé par le maire (ou son remplaçant), les autres membres du bureau et le secrétaire. </w:t>
      </w:r>
    </w:p>
    <w:tbl>
      <w:tblPr>
        <w:tblStyle w:val="Grilledutableau"/>
        <w:tblpPr w:bottomFromText="0" w:horzAnchor="margin" w:leftFromText="141" w:rightFromText="141" w:tblpX="0" w:tblpY="1610" w:topFromText="0" w:vertAnchor="text"/>
        <w:tblW w:w="9498" w:type="dxa"/>
        <w:jc w:val="left"/>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tabs>
          <w:tab w:val="clear" w:pos="708"/>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0997118"/>
    </w:sdtPr>
    <w:sdtContent>
      <w:p>
        <w:pPr>
          <w:pStyle w:val="Pieddepage"/>
          <w:jc w:val="center"/>
          <w:rPr/>
        </w:pPr>
        <w:r>
          <w:rPr>
            <w:rFonts w:cs="Arial" w:ascii="Arial" w:hAnsi="Arial"/>
            <w:sz w:val="22"/>
          </w:rPr>
          <w:fldChar w:fldCharType="begin"/>
        </w:r>
        <w:r>
          <w:rPr>
            <w:sz w:val="22"/>
            <w:rFonts w:cs="Arial" w:ascii="Arial" w:hAnsi="Arial"/>
          </w:rPr>
          <w:instrText> PAGE </w:instrText>
        </w:r>
        <w:r>
          <w:rPr>
            <w:sz w:val="22"/>
            <w:rFonts w:cs="Arial" w:ascii="Arial" w:hAnsi="Arial"/>
          </w:rPr>
          <w:fldChar w:fldCharType="separate"/>
        </w:r>
        <w:r>
          <w:rPr>
            <w:sz w:val="22"/>
            <w:rFonts w:cs="Arial" w:ascii="Arial" w:hAnsi="Arial"/>
          </w:rPr>
          <w:t>1</w:t>
        </w:r>
        <w:r>
          <w:rPr>
            <w:sz w:val="22"/>
            <w:rFonts w:cs="Arial" w:ascii="Arial" w:hAnsi="Arial"/>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Indiquer les nom et prénom(s) d’un conseiller par case.</w:t>
      </w:r>
    </w:p>
  </w:footnote>
  <w:footnote w:id="3">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Trois jours au moins doivent séparer la première réunion de la seconde.</w:t>
      </w:r>
    </w:p>
  </w:footnote>
  <w:footnote w:id="4">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5">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Préciser, s’ils sont excusés, s’ils ont donné pouvoir et le cas échéant à qui (art. L. 288 du code électoral)</w:t>
      </w:r>
      <w:r>
        <w:rPr>
          <w:rFonts w:ascii="Marianne" w:hAnsi="Marianne"/>
        </w:rPr>
        <w:t>. U</w:t>
      </w:r>
      <w:r>
        <w:rPr>
          <w:rFonts w:cs="Arial" w:ascii="Marianne" w:hAnsi="Marianne"/>
        </w:rPr>
        <w:t xml:space="preserve">n même conseiller ne peut être porteur que </w:t>
      </w:r>
      <w:r>
        <w:rPr>
          <w:rFonts w:cs="Arial" w:ascii="Marianne" w:hAnsi="Marianne"/>
          <w:b/>
        </w:rPr>
        <w:t>d'un seul pouvoir</w:t>
      </w:r>
      <w:r>
        <w:rPr>
          <w:rFonts w:cs="Arial" w:ascii="Marianne" w:hAnsi="Marianne"/>
        </w:rPr>
        <w:t xml:space="preserve"> qui est toujours révocable.</w:t>
      </w:r>
    </w:p>
  </w:footnote>
  <w:footnote w:id="6">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7">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8">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9">
    <w:p>
      <w:pPr>
        <w:pStyle w:val="Notedebasdepage"/>
        <w:spacing w:before="40" w:after="40"/>
        <w:ind w:left="284" w:hanging="142"/>
        <w:jc w:val="both"/>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10">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1">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2">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3">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Rayer le 5.4 en l’absence de refus de suppléants avant que la séance ne soit levée.</w:t>
      </w:r>
    </w:p>
  </w:footnote>
  <w:footnote w:id="14">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pPr>
        <w:pStyle w:val="Notedebasdepage"/>
        <w:spacing w:before="40" w:after="40"/>
        <w:ind w:left="142" w:hanging="0"/>
        <w:rPr/>
      </w:pPr>
      <w:r>
        <w:rPr/>
      </w:r>
    </w:p>
  </w:footnote>
  <w:footnote w:id="15">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4"/>
      <w:numFmt w:val="decimal"/>
      <w:lvlText w:val="%1"/>
      <w:lvlJc w:val="left"/>
      <w:pPr>
        <w:ind w:left="420" w:hanging="420"/>
      </w:pPr>
      <w:rPr>
        <w:rFonts w:cs="Times New Roman"/>
      </w:rPr>
    </w:lvl>
    <w:lvl w:ilvl="1">
      <w:start w:val="4"/>
      <w:numFmt w:val="decimal"/>
      <w:lvlText w:val="%1.%2"/>
      <w:lvlJc w:val="left"/>
      <w:pPr>
        <w:ind w:left="1080" w:hanging="720"/>
      </w:pPr>
      <w:rPr>
        <w:sz w:val="26"/>
        <w:b/>
        <w:rFonts w:ascii="Marianne" w:hAnsi="Marianne" w:cs="Times New Roman"/>
      </w:rPr>
    </w:lvl>
    <w:lvl w:ilvl="2">
      <w:start w:val="1"/>
      <w:numFmt w:val="decimal"/>
      <w:lvlText w:val="%1.%2.%3"/>
      <w:lvlJc w:val="left"/>
      <w:pPr>
        <w:ind w:left="1800" w:hanging="108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600" w:hanging="1800"/>
      </w:pPr>
      <w:rPr>
        <w:rFonts w:cs="Times New Roman"/>
      </w:rPr>
    </w:lvl>
    <w:lvl w:ilvl="6">
      <w:start w:val="1"/>
      <w:numFmt w:val="decimal"/>
      <w:lvlText w:val="%1.%2.%3.%4.%5.%6.%7"/>
      <w:lvlJc w:val="left"/>
      <w:pPr>
        <w:ind w:left="4320" w:hanging="2160"/>
      </w:pPr>
      <w:rPr>
        <w:rFonts w:cs="Times New Roman"/>
      </w:rPr>
    </w:lvl>
    <w:lvl w:ilvl="7">
      <w:start w:val="1"/>
      <w:numFmt w:val="decimal"/>
      <w:lvlText w:val="%1.%2.%3.%4.%5.%6.%7.%8"/>
      <w:lvlJc w:val="left"/>
      <w:pPr>
        <w:ind w:left="4680" w:hanging="2160"/>
      </w:pPr>
      <w:rPr>
        <w:rFonts w:cs="Times New Roman"/>
      </w:rPr>
    </w:lvl>
    <w:lvl w:ilvl="8">
      <w:start w:val="1"/>
      <w:numFmt w:val="decimal"/>
      <w:lvlText w:val="%1.%2.%3.%4.%5.%6.%7.%8.%9"/>
      <w:lvlJc w:val="left"/>
      <w:pPr>
        <w:ind w:left="5400" w:hanging="2520"/>
      </w:pPr>
      <w:rPr>
        <w:rFonts w:cs="Times New Roman"/>
      </w:rPr>
    </w:lvl>
  </w:abstractNum>
  <w:abstractNum w:abstractNumId="7">
    <w:lvl w:ilvl="0">
      <w:start w:val="5"/>
      <w:numFmt w:val="decimal"/>
      <w:lvlText w:val="%1."/>
      <w:lvlJc w:val="left"/>
      <w:pPr>
        <w:ind w:left="360" w:hanging="360"/>
      </w:pPr>
      <w:rPr>
        <w:sz w:val="22"/>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4455"/>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694455"/>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694455"/>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694455"/>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694455"/>
    <w:rPr>
      <w:vertAlign w:val="superscript"/>
    </w:rPr>
  </w:style>
  <w:style w:type="character" w:styleId="EntteCar" w:customStyle="1">
    <w:name w:val="En-tête Car"/>
    <w:basedOn w:val="DefaultParagraphFont"/>
    <w:link w:val="En-tte"/>
    <w:qFormat/>
    <w:rsid w:val="00694455"/>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694455"/>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694455"/>
    <w:rPr>
      <w:sz w:val="16"/>
      <w:szCs w:val="16"/>
    </w:rPr>
  </w:style>
  <w:style w:type="character" w:styleId="CommentaireCar" w:customStyle="1">
    <w:name w:val="Commentaire Car"/>
    <w:basedOn w:val="DefaultParagraphFont"/>
    <w:link w:val="Commentaire"/>
    <w:uiPriority w:val="99"/>
    <w:semiHidden/>
    <w:qFormat/>
    <w:rsid w:val="00694455"/>
    <w:rPr>
      <w:sz w:val="20"/>
      <w:szCs w:val="20"/>
    </w:rPr>
  </w:style>
  <w:style w:type="character" w:styleId="TextedebullesCar" w:customStyle="1">
    <w:name w:val="Texte de bulles Car"/>
    <w:basedOn w:val="DefaultParagraphFont"/>
    <w:link w:val="Textedebulles"/>
    <w:uiPriority w:val="99"/>
    <w:semiHidden/>
    <w:qFormat/>
    <w:rsid w:val="00694455"/>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975e8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574eb5"/>
    <w:rPr>
      <w:rFonts w:ascii="Times New Roman" w:hAnsi="Times New Roman" w:eastAsia="Times New Roman" w:cs="Times New Roman"/>
      <w:b/>
      <w:bCs/>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694455"/>
    <w:pPr/>
    <w:rPr/>
  </w:style>
  <w:style w:type="paragraph" w:styleId="Entteetpieddepage">
    <w:name w:val="En-tête et pied de page"/>
    <w:basedOn w:val="Normal"/>
    <w:qFormat/>
    <w:pPr/>
    <w:rPr/>
  </w:style>
  <w:style w:type="paragraph" w:styleId="Entte">
    <w:name w:val="Header"/>
    <w:basedOn w:val="Normal"/>
    <w:link w:val="En-tteCar"/>
    <w:unhideWhenUsed/>
    <w:rsid w:val="0069445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694455"/>
    <w:pPr>
      <w:tabs>
        <w:tab w:val="clear" w:pos="708"/>
        <w:tab w:val="center" w:pos="4536" w:leader="none"/>
        <w:tab w:val="right" w:pos="9072" w:leader="none"/>
      </w:tabs>
    </w:pPr>
    <w:rPr/>
  </w:style>
  <w:style w:type="paragraph" w:styleId="ListParagraph">
    <w:name w:val="List Paragraph"/>
    <w:basedOn w:val="Normal"/>
    <w:uiPriority w:val="34"/>
    <w:qFormat/>
    <w:rsid w:val="00694455"/>
    <w:pPr>
      <w:spacing w:before="0" w:after="0"/>
      <w:ind w:left="720" w:hanging="0"/>
      <w:contextualSpacing/>
    </w:pPr>
    <w:rPr/>
  </w:style>
  <w:style w:type="paragraph" w:styleId="Annotationtext">
    <w:name w:val="annotation text"/>
    <w:basedOn w:val="Normal"/>
    <w:link w:val="CommentaireCar"/>
    <w:uiPriority w:val="99"/>
    <w:semiHidden/>
    <w:unhideWhenUsed/>
    <w:qFormat/>
    <w:rsid w:val="00694455"/>
    <w:pPr>
      <w:spacing w:before="0" w:after="200"/>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694455"/>
    <w:pPr>
      <w:spacing w:beforeAutospacing="1" w:afterAutospacing="1"/>
    </w:pPr>
    <w:rPr>
      <w:sz w:val="24"/>
      <w:szCs w:val="24"/>
    </w:rPr>
  </w:style>
  <w:style w:type="paragraph" w:styleId="BalloonText">
    <w:name w:val="Balloon Text"/>
    <w:basedOn w:val="Normal"/>
    <w:link w:val="TextedebullesCar"/>
    <w:uiPriority w:val="99"/>
    <w:semiHidden/>
    <w:unhideWhenUsed/>
    <w:qFormat/>
    <w:rsid w:val="00694455"/>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975e8b"/>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574eb5"/>
    <w:pPr>
      <w:spacing w:before="0" w:after="0"/>
    </w:pPr>
    <w:rPr>
      <w:rFonts w:ascii="Times New Roman" w:hAnsi="Times New Roman" w:eastAsia="Times New Roman" w:cs="Times New Roman"/>
      <w:b/>
      <w:bCs/>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69445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694455"/>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AFF66-762B-4E54-AB70-50D09D1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LibreOffice/6.3.2.2$Windows_X86_64 LibreOffice_project/98b30e735bda24bc04ab42594c85f7fd8be07b9c</Application>
  <Pages>12</Pages>
  <Words>2552</Words>
  <Characters>15192</Characters>
  <CharactersWithSpaces>17649</CharactersWithSpaces>
  <Paragraphs>159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2020-06-25T09:53:00Z</dcterms:created>
  <dc:creator>TAVERNIERAN</dc:creator>
  <dc:description/>
  <dc:language>fr-FR</dc:language>
  <cp:lastModifiedBy>Nolwenn Perrin</cp:lastModifiedBy>
  <dcterms:modified xsi:type="dcterms:W3CDTF">2020-07-01T15:44:00Z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